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4" w:rsidRDefault="002B2DA7" w:rsidP="00377254">
      <w:pPr>
        <w:pStyle w:val="Ttulo1"/>
        <w:spacing w:after="240" w:line="360" w:lineRule="auto"/>
        <w:jc w:val="both"/>
      </w:pPr>
      <w:r>
        <w:rPr>
          <w:rFonts w:ascii="Arial" w:hAnsi="Arial" w:cs="Arial"/>
          <w:color w:val="000000"/>
          <w:sz w:val="24"/>
          <w:lang w:val="pt-BR"/>
        </w:rPr>
        <w:t>Co</w:t>
      </w:r>
      <w:proofErr w:type="spellStart"/>
      <w:r>
        <w:rPr>
          <w:rFonts w:ascii="Arial" w:hAnsi="Arial" w:cs="Arial"/>
          <w:color w:val="000000"/>
          <w:sz w:val="24"/>
        </w:rPr>
        <w:t>rpo</w:t>
      </w:r>
      <w:proofErr w:type="spellEnd"/>
      <w:r>
        <w:rPr>
          <w:rFonts w:ascii="Arial" w:hAnsi="Arial" w:cs="Arial"/>
          <w:color w:val="000000"/>
          <w:sz w:val="24"/>
        </w:rPr>
        <w:t xml:space="preserve"> docente</w:t>
      </w:r>
      <w:r>
        <w:rPr>
          <w:rFonts w:ascii="Arial" w:hAnsi="Arial" w:cs="Arial"/>
          <w:color w:val="000000"/>
          <w:sz w:val="24"/>
          <w:lang w:val="pt-BR"/>
        </w:rPr>
        <w:t>, áreas de atuação e currículo.</w:t>
      </w:r>
    </w:p>
    <w:tbl>
      <w:tblPr>
        <w:tblW w:w="0" w:type="auto"/>
        <w:tblInd w:w="-34" w:type="dxa"/>
        <w:tblLook w:val="0020"/>
      </w:tblPr>
      <w:tblGrid>
        <w:gridCol w:w="1671"/>
        <w:gridCol w:w="1397"/>
        <w:gridCol w:w="7316"/>
        <w:gridCol w:w="932"/>
        <w:gridCol w:w="3252"/>
      </w:tblGrid>
      <w:tr w:rsidR="002B2DA7" w:rsidRPr="004778A5" w:rsidTr="002B2DA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77254" w:rsidRPr="004778A5" w:rsidRDefault="0037725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docente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77254" w:rsidRPr="004778A5" w:rsidRDefault="0037725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máxima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77254" w:rsidRPr="004778A5" w:rsidRDefault="0037725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77254" w:rsidRPr="004778A5" w:rsidRDefault="0037725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77254" w:rsidRPr="004778A5" w:rsidRDefault="0037725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Link do currículo </w:t>
            </w:r>
            <w:r w:rsidRPr="004778A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Lattes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Adelson de Azevedo Moreira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iCs/>
                <w:sz w:val="20"/>
                <w:szCs w:val="20"/>
              </w:rPr>
              <w:t>Tem experiência na área de Geociências, com ênfase em Geociências, atuando principalmente nos seguintes temas: Sensoriamento Remoto, Sistemas de Informações Geográficas, Cartografia, Topografia, Ciência Florestal e Uso da Terra.</w:t>
            </w:r>
          </w:p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/1214874243746142</w:t>
            </w:r>
          </w:p>
        </w:tc>
      </w:tr>
      <w:tr w:rsidR="002B2DA7" w:rsidRPr="002B2DA7" w:rsidTr="002B2DA7">
        <w:tblPrEx>
          <w:tblBorders>
            <w:top w:val="single" w:sz="8" w:space="0" w:color="000000"/>
            <w:bottom w:val="single" w:sz="8" w:space="0" w:color="000000"/>
          </w:tblBorders>
          <w:tblLook w:val="04A0"/>
        </w:tblPrEx>
        <w:trPr>
          <w:trHeight w:val="6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Aldemar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Polonini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Moreli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iCs/>
                <w:sz w:val="20"/>
                <w:szCs w:val="20"/>
              </w:rPr>
              <w:t>Tem experiência na área de Gestão ambiental, gestão agrícola, agronegócio, cafeicultura, pós-colheita de grãos) e de educação ambiental, Planejamento e Manejo de Recursos Hídricos</w:t>
            </w:r>
          </w:p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/4489274366265637</w:t>
            </w:r>
          </w:p>
        </w:tc>
      </w:tr>
      <w:tr w:rsidR="002B2DA7" w:rsidRPr="002B2DA7" w:rsidTr="002B2DA7">
        <w:tblPrEx>
          <w:tblBorders>
            <w:top w:val="single" w:sz="8" w:space="0" w:color="000000"/>
            <w:bottom w:val="single" w:sz="8" w:space="0" w:color="000000"/>
          </w:tblBorders>
          <w:tblLook w:val="04A0"/>
        </w:tblPrEx>
        <w:trPr>
          <w:trHeight w:val="6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C8A" w:rsidRPr="002B2DA7" w:rsidRDefault="00BD1C8A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Antonio Luiz Mattos de Souza Cardoso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C8A" w:rsidRPr="002B2DA7" w:rsidRDefault="00BD1C8A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C8A" w:rsidRPr="002B2DA7" w:rsidRDefault="00BD1C8A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 experiência na área de Ciência da Computação, com ênfase em Engenharia de Software, atuando principalmente nos seguintes temas: desenvolvimento de software, qualidade de software, interpolação numérica,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Capability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Maturity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qualificação de software, Técnicas de Inteligência Artificial. Pesquisa os fenômenos das Novas Tecnologias de Informação e Comunicação na Educação (Informática na Educação) e na Gestão da Informação e do Conhecimento.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C8A" w:rsidRPr="002B2DA7" w:rsidRDefault="00BD1C8A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UFES -Vitória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C8A" w:rsidRPr="002B2DA7" w:rsidRDefault="002B2DA7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/5900211605766512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Alessandra Cunha Lopes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Saneamento, Licenciamento Ambiental e Estudos Ambientais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/0945618772835948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Aramis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Cortes de Araujo Junior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Experiência na área de Geografia, com ênfase em Geografia Urbana, atuando principalmente nos seguintes temas: organização interna da cidade, reestruturação urbana, dinâmica dos serviços, processos de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terciarização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urbanização e políticas públicas terciárias.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/8921763377930836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Arnaldo Henrique de Oliveira Carvalho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 experiência na área de educação como professor de Educação Ambiental, Ciências Ambientais, Gestão Ambiental, Manejo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Agroecológico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atuando principalmente nos seguintes temas: educação ambiental, meio ambiente,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agroecologia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sustentabilidade.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/7520766983744062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Benvindo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Gardiman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Junior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na área de Engenharia Sanitária (Aterros Sanitários), com ênfase em Tratamento de Resíduos Sólidos e Líquidos.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Ifes-Ibatiba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/0029842339452861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Carlos Henrique Rodrigues de Oliveira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Atua principalmente nas áreas: Silvicultura, Viveiros Florestais, Sistemas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Agroflorestais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Recuperações de Áreas Degradadas, Fertilidade do Solo, Adubação e Nutrição de plantas. Possui projetos em desenvolvimento na área de Sistemas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Agroflorestais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Florestas energéticas, Produção de mudas florestais e Recuperação de áreas degradadas.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/1293627013882628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Dihego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Oliveira Azevedo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na área de Biologia Celular, com ênfase em morfologia e biologia molecular.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/2724379332986984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Elaine Cristina Silva Guimarães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Possui graduação e graduação em História pela Universidade do Estado de Minas Gerais (1999). Mestranda em Educação e matemática pelo IFES.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/3026070589214470</w:t>
            </w:r>
          </w:p>
        </w:tc>
      </w:tr>
      <w:tr w:rsidR="002B2DA7" w:rsidRPr="002B2DA7" w:rsidTr="002B2DA7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Felipe A. Lima Fernandes Santos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na área das ciências humanas, da educação técnica e profissionalizante, orientação educacional, educação agrícola, história e sociologia.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/4836837155217701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Gilberto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Mazoco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Jubini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na área das Ciências Exatas e da Terra, Probabilidade e Estatística, Álgebra Linear, Iniciação Científica, Educação Matemática, Formação com Professores e Organização de Eventos Científicos.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/1667257631243863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Ivanete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Tonole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 experiência em Fitopatologia, sub-área Bacteriologia de Plantas, detecção e diagnose de fitobactérias não-fastidiosas por análises bioquímicas e tintoriais e, no manejo de doenças de plantas com ênfase na nutrição mineral (Si, Zn e Mn) das plantas, Diagnóstico Sócio Ambiental e, Manejo e Tratamento de </w:t>
            </w: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Resíduos Sólidos e Efluentes.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lattes.cnpq.br/5959873599720299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Juscelino Alves Henrique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Possui conhecimento nas seguintes áreas: Qualidade das águas pluviais de drenagem urbana. Vigilância da qualidade da água para o abastecimento humano. Uso de geotecnologias na vigilância da qualidade da água. Saneamento ambiental aplicado as comunidades rurais difusas. Modelagem hidráulica e dimensionamento de sistemas de abastecimento de água. Análise de risco em sistema de abastecimento de água. Tratamento alternativo e de baixo custo de águas para abastecimento em comunidades difusas utilizando Moringa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oleifera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Investigação de contaminantes emergentes em águas naturais. Uso de RNA no desempenho de sistemas de tratamento de água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/1264452207403147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2B2DA7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Marcos Alves de Magalhães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2B2DA7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2B2DA7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Atua nas seguintes áreas: Elaboração de Planos Municipais de Saneamento Básico; Planos Municipais de Resíduos Sólidos; Limpeza urbana - gestão de resíduos sólidos urbanos; Tratamento de resíduos sólidos agroindustriais; Tratamento de águas residuárias; Controle da poluição; bacia hidrográfica; Licenciamento ambiental. Projetos Hidroambientais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2B2DA7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DA7" w:rsidRPr="002B2DA7" w:rsidRDefault="002B2DA7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2DA7" w:rsidRPr="002B2DA7" w:rsidTr="002B2DA7">
        <w:trPr>
          <w:trHeight w:val="4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Patrícia Torres de Souza Cardoso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Atua principalmente nos seguintes temas: Afetividade, 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Ludicidade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Avaliação, Tradução, Inglês Instrumental e ensino de idiomas, Metodologia do Ensino Superior, Gestão Educacional.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/3413706016628290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Plínio Ferreira Guimarães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Atua principalmente nos seguintes temas: anticomunismo, pensamento militar, Ditadura Militar, políticas assistencialistas da Ditadura Militar; medo, memória, imaginário; guerrilha de Caparaó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/4316152873672283</w:t>
            </w:r>
          </w:p>
        </w:tc>
      </w:tr>
      <w:tr w:rsidR="002B2DA7" w:rsidRPr="002B2DA7" w:rsidTr="002B2D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Robson Vieira da Silva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E7497F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na área de ensino de Matemática e estatística.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/0128109199492759</w:t>
            </w:r>
          </w:p>
        </w:tc>
      </w:tr>
      <w:tr w:rsidR="002B2DA7" w:rsidRPr="002B2DA7" w:rsidTr="002B2DA7">
        <w:trPr>
          <w:trHeight w:val="4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Wallisson da Silva Freitas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BD1C8A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 experiência em qualidade das água, do ar e do solo; tratamento, aproveitamento e disposição final de resíduos; controle ambiental; gestão ambiental; irrigação; hidrologia, conservação e manejo de bacias hidrográficas, simulações em SIG entre outras.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54" w:rsidRPr="002B2DA7" w:rsidRDefault="00377254" w:rsidP="002B2DA7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2B2D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/4413056983902488</w:t>
            </w:r>
          </w:p>
        </w:tc>
      </w:tr>
    </w:tbl>
    <w:p w:rsidR="00125775" w:rsidRPr="002B2DA7" w:rsidRDefault="00125775">
      <w:pPr>
        <w:rPr>
          <w:rFonts w:ascii="Arial" w:hAnsi="Arial" w:cs="Arial"/>
          <w:sz w:val="20"/>
          <w:szCs w:val="20"/>
        </w:rPr>
      </w:pPr>
    </w:p>
    <w:sectPr w:rsidR="00125775" w:rsidRPr="002B2DA7" w:rsidSect="00377254"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54"/>
    <w:rsid w:val="00125775"/>
    <w:rsid w:val="002B2DA7"/>
    <w:rsid w:val="002B680F"/>
    <w:rsid w:val="00377254"/>
    <w:rsid w:val="00446925"/>
    <w:rsid w:val="005914BD"/>
    <w:rsid w:val="007F34D4"/>
    <w:rsid w:val="00BA5887"/>
    <w:rsid w:val="00BD1C8A"/>
    <w:rsid w:val="00D717F1"/>
    <w:rsid w:val="00E25EE4"/>
    <w:rsid w:val="00E7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54"/>
    <w:pPr>
      <w:suppressAutoHyphens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77254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725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styleId="CitaoHTML">
    <w:name w:val="HTML Cite"/>
    <w:uiPriority w:val="99"/>
    <w:rsid w:val="00377254"/>
    <w:rPr>
      <w:i/>
      <w:iCs/>
    </w:rPr>
  </w:style>
  <w:style w:type="paragraph" w:styleId="NormalWeb">
    <w:name w:val="Normal (Web)"/>
    <w:basedOn w:val="Normal"/>
    <w:uiPriority w:val="99"/>
    <w:rsid w:val="00377254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Note-Casa</dc:creator>
  <cp:lastModifiedBy>Note-Casa</cp:lastModifiedBy>
  <cp:revision>1</cp:revision>
  <dcterms:created xsi:type="dcterms:W3CDTF">2018-05-24T19:38:00Z</dcterms:created>
  <dcterms:modified xsi:type="dcterms:W3CDTF">2018-05-24T20:27:00Z</dcterms:modified>
</cp:coreProperties>
</file>